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E2B" w:rsidRDefault="008E3E2B" w:rsidP="008E3E2B">
      <w:pPr>
        <w:rPr>
          <w:lang w:eastAsia="fr-FR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Titre : </w:t>
      </w:r>
      <w:r>
        <w:rPr>
          <w:lang w:eastAsia="fr-FR"/>
        </w:rPr>
        <w:t>Plurilinguisme et enseignement du français : analyse d’un dispositif de recherche collaborative sur le développement professionnel des enseignants</w:t>
      </w:r>
    </w:p>
    <w:p w:rsidR="00DA421C" w:rsidRDefault="00DA421C" w:rsidP="008E3E2B">
      <w:pPr>
        <w:rPr>
          <w:lang w:eastAsia="fr-FR"/>
        </w:rPr>
      </w:pPr>
      <w:r w:rsidRPr="00F1342F">
        <w:rPr>
          <w:b/>
          <w:lang w:eastAsia="fr-FR"/>
        </w:rPr>
        <w:t>Auteurs </w:t>
      </w:r>
      <w:r>
        <w:rPr>
          <w:lang w:eastAsia="fr-FR"/>
        </w:rPr>
        <w:t>: Véronique MIGUEL ADDISU et Malgorzata JASKULA</w:t>
      </w:r>
    </w:p>
    <w:p w:rsidR="00DA421C" w:rsidRDefault="00F1342F" w:rsidP="008E3E2B">
      <w:pPr>
        <w:rPr>
          <w:lang w:eastAsia="fr-FR"/>
        </w:rPr>
      </w:pPr>
      <w:r w:rsidRPr="00F1342F">
        <w:rPr>
          <w:b/>
          <w:lang w:eastAsia="fr-FR"/>
        </w:rPr>
        <w:t>Affiliation</w:t>
      </w:r>
      <w:r>
        <w:rPr>
          <w:lang w:eastAsia="fr-FR"/>
        </w:rPr>
        <w:t xml:space="preserve"> : </w:t>
      </w:r>
      <w:r w:rsidR="00DA421C">
        <w:rPr>
          <w:lang w:eastAsia="fr-FR"/>
        </w:rPr>
        <w:t xml:space="preserve">Lab. </w:t>
      </w:r>
      <w:proofErr w:type="spellStart"/>
      <w:r w:rsidR="00DA421C">
        <w:rPr>
          <w:lang w:eastAsia="fr-FR"/>
        </w:rPr>
        <w:t>Dylis</w:t>
      </w:r>
      <w:proofErr w:type="spellEnd"/>
      <w:r w:rsidR="00DA421C">
        <w:rPr>
          <w:lang w:eastAsia="fr-FR"/>
        </w:rPr>
        <w:t xml:space="preserve">, Université de Rouen Normandie </w:t>
      </w:r>
    </w:p>
    <w:p w:rsidR="00F1342F" w:rsidRDefault="00F1342F" w:rsidP="00F1342F">
      <w:r w:rsidRPr="00F1342F">
        <w:rPr>
          <w:b/>
        </w:rPr>
        <w:t>3 mots-clefs</w:t>
      </w:r>
      <w:r>
        <w:t xml:space="preserve"> : recherches collaboratives, plurilinguisme, </w:t>
      </w:r>
      <w:proofErr w:type="spellStart"/>
      <w:r>
        <w:t>apprenance</w:t>
      </w:r>
      <w:proofErr w:type="spellEnd"/>
    </w:p>
    <w:p w:rsidR="008E3E2B" w:rsidRDefault="008E3E2B" w:rsidP="008E3E2B">
      <w:pPr>
        <w:pStyle w:val="Titre1"/>
      </w:pPr>
      <w:r>
        <w:t>Résumé court (3000 signes espaces compris)</w:t>
      </w:r>
    </w:p>
    <w:p w:rsidR="004C04D9" w:rsidRPr="004C04D9" w:rsidRDefault="008E3E2B" w:rsidP="004C04D9">
      <w:pPr>
        <w:jc w:val="both"/>
        <w:rPr>
          <w:rFonts w:asciiTheme="minorHAnsi" w:hAnsiTheme="minorHAnsi"/>
        </w:rPr>
      </w:pPr>
      <w:r w:rsidRPr="004C04D9">
        <w:rPr>
          <w:rFonts w:asciiTheme="minorHAnsi" w:hAnsiTheme="minorHAnsi"/>
          <w:i/>
        </w:rPr>
        <w:t>Parcours, langues et apprentissages en français d’élèves plurilingues</w:t>
      </w:r>
      <w:r w:rsidRPr="00D45332">
        <w:rPr>
          <w:rFonts w:asciiTheme="minorHAnsi" w:hAnsiTheme="minorHAnsi" w:cs="Garamond"/>
        </w:rPr>
        <w:t xml:space="preserve"> (désormais</w:t>
      </w:r>
      <w:r w:rsidRPr="00E05DE6">
        <w:rPr>
          <w:rFonts w:asciiTheme="minorHAnsi" w:hAnsiTheme="minorHAnsi" w:cs="Garamond"/>
          <w:b/>
        </w:rPr>
        <w:t xml:space="preserve"> </w:t>
      </w:r>
      <w:r w:rsidRPr="00E05DE6">
        <w:rPr>
          <w:rFonts w:asciiTheme="minorHAnsi" w:hAnsiTheme="minorHAnsi"/>
        </w:rPr>
        <w:t xml:space="preserve">PARLANGUES) est </w:t>
      </w:r>
      <w:r w:rsidR="004C04D9">
        <w:rPr>
          <w:rFonts w:asciiTheme="minorHAnsi" w:hAnsiTheme="minorHAnsi"/>
        </w:rPr>
        <w:t xml:space="preserve">une recherche collaborative visant à </w:t>
      </w:r>
      <w:r w:rsidRPr="00E05DE6">
        <w:rPr>
          <w:rFonts w:asciiTheme="minorHAnsi" w:hAnsiTheme="minorHAnsi"/>
        </w:rPr>
        <w:t>documenter les pratiques d’appropriation de la langue de scolarisation par des coll</w:t>
      </w:r>
      <w:r w:rsidR="004C04D9">
        <w:rPr>
          <w:rFonts w:asciiTheme="minorHAnsi" w:hAnsiTheme="minorHAnsi"/>
        </w:rPr>
        <w:t>égiens plurilingues</w:t>
      </w:r>
      <w:r w:rsidRPr="00E05DE6">
        <w:rPr>
          <w:rFonts w:asciiTheme="minorHAnsi" w:hAnsiTheme="minorHAnsi"/>
        </w:rPr>
        <w:t>, ainsi que les pratiques d’enseignants ordinaires qui cherchent à adapter leurs gestes professionnels à ces situations plurilingues. A ce titre, elle mobilise des savoirs issus de recherches en linguistique, en sociolinguistique, en didactique</w:t>
      </w:r>
      <w:r w:rsidRPr="004C04D9">
        <w:rPr>
          <w:rFonts w:asciiTheme="minorHAnsi" w:hAnsiTheme="minorHAnsi"/>
        </w:rPr>
        <w:t xml:space="preserve">. </w:t>
      </w:r>
      <w:r w:rsidR="004C04D9" w:rsidRPr="004C04D9">
        <w:rPr>
          <w:rFonts w:asciiTheme="minorHAnsi" w:hAnsiTheme="minorHAnsi"/>
        </w:rPr>
        <w:t>Nous étudions ici l’impact du protocole de recherche collaboratif sur la transformation des gestes et des postures des 8 enseignants impliqués dans ce projet.</w:t>
      </w:r>
    </w:p>
    <w:p w:rsidR="004C04D9" w:rsidRDefault="008E3E2B" w:rsidP="00FF7B8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 collaboration avec les enseignants s’est construite selon un principe </w:t>
      </w:r>
      <w:r w:rsidRPr="00CA6291">
        <w:rPr>
          <w:rFonts w:asciiTheme="minorHAnsi" w:hAnsiTheme="minorHAnsi"/>
        </w:rPr>
        <w:t>d’</w:t>
      </w:r>
      <w:proofErr w:type="spellStart"/>
      <w:r w:rsidRPr="00CA6291">
        <w:rPr>
          <w:rFonts w:asciiTheme="minorHAnsi" w:hAnsiTheme="minorHAnsi"/>
        </w:rPr>
        <w:t>apprenance</w:t>
      </w:r>
      <w:proofErr w:type="spellEnd"/>
      <w:r w:rsidRPr="00CA6291">
        <w:rPr>
          <w:rFonts w:asciiTheme="minorHAnsi" w:hAnsiTheme="minorHAnsi"/>
        </w:rPr>
        <w:t xml:space="preserve"> (Carré, 2005) au sein d’un dispositif de recherche collaboratif</w:t>
      </w:r>
      <w:r w:rsidR="004C04D9">
        <w:rPr>
          <w:rFonts w:asciiTheme="minorHAnsi" w:hAnsiTheme="minorHAnsi"/>
        </w:rPr>
        <w:t xml:space="preserve"> que nous définissons comme</w:t>
      </w:r>
      <w:r w:rsidRPr="00CA6291">
        <w:rPr>
          <w:rFonts w:asciiTheme="minorHAnsi" w:hAnsiTheme="minorHAnsi"/>
        </w:rPr>
        <w:t xml:space="preserve"> un « </w:t>
      </w:r>
      <w:r w:rsidRPr="00CA6291">
        <w:rPr>
          <w:rFonts w:asciiTheme="minorHAnsi" w:eastAsia="Cambria" w:hAnsiTheme="minorHAnsi" w:cs="Baskerville"/>
        </w:rPr>
        <w:t xml:space="preserve">processus impliquant chercheurs et praticiens qui collaborent pour élucider une question de recherche, plus ou moins </w:t>
      </w:r>
      <w:proofErr w:type="spellStart"/>
      <w:r w:rsidRPr="00CA6291">
        <w:rPr>
          <w:rFonts w:asciiTheme="minorHAnsi" w:eastAsia="Cambria" w:hAnsiTheme="minorHAnsi" w:cs="Baskerville"/>
        </w:rPr>
        <w:t>codécidée</w:t>
      </w:r>
      <w:proofErr w:type="spellEnd"/>
      <w:r w:rsidRPr="00CA6291">
        <w:rPr>
          <w:rFonts w:asciiTheme="minorHAnsi" w:eastAsia="Cambria" w:hAnsiTheme="minorHAnsi" w:cs="Baskerville"/>
        </w:rPr>
        <w:t xml:space="preserve">, afin de produire des savoirs, le plus souvent </w:t>
      </w:r>
      <w:proofErr w:type="spellStart"/>
      <w:r w:rsidRPr="00CA6291">
        <w:rPr>
          <w:rFonts w:asciiTheme="minorHAnsi" w:eastAsia="Cambria" w:hAnsiTheme="minorHAnsi" w:cs="Baskerville"/>
        </w:rPr>
        <w:t>coénoncés</w:t>
      </w:r>
      <w:proofErr w:type="spellEnd"/>
      <w:r w:rsidRPr="00CA6291">
        <w:rPr>
          <w:rFonts w:asciiTheme="minorHAnsi" w:eastAsia="Cambria" w:hAnsiTheme="minorHAnsi" w:cs="Baskerville"/>
        </w:rPr>
        <w:t xml:space="preserve"> et </w:t>
      </w:r>
      <w:proofErr w:type="spellStart"/>
      <w:r w:rsidRPr="00CA6291">
        <w:rPr>
          <w:rFonts w:asciiTheme="minorHAnsi" w:eastAsia="Cambria" w:hAnsiTheme="minorHAnsi" w:cs="Baskerville"/>
        </w:rPr>
        <w:t>covalidés</w:t>
      </w:r>
      <w:proofErr w:type="spellEnd"/>
      <w:r w:rsidRPr="00CA6291">
        <w:rPr>
          <w:rFonts w:asciiTheme="minorHAnsi" w:eastAsia="Cambria" w:hAnsiTheme="minorHAnsi" w:cs="Baskerville"/>
        </w:rPr>
        <w:t> » (</w:t>
      </w:r>
      <w:proofErr w:type="spellStart"/>
      <w:r w:rsidRPr="00CA6291">
        <w:rPr>
          <w:rFonts w:asciiTheme="minorHAnsi" w:eastAsia="Cambria" w:hAnsiTheme="minorHAnsi" w:cs="Baskerville"/>
        </w:rPr>
        <w:t>Bourrassa</w:t>
      </w:r>
      <w:proofErr w:type="spellEnd"/>
      <w:r w:rsidRPr="00CA6291">
        <w:rPr>
          <w:rFonts w:asciiTheme="minorHAnsi" w:eastAsia="Cambria" w:hAnsiTheme="minorHAnsi" w:cs="Baskerville"/>
        </w:rPr>
        <w:t xml:space="preserve"> et </w:t>
      </w:r>
      <w:proofErr w:type="spellStart"/>
      <w:r w:rsidRPr="00CA6291">
        <w:rPr>
          <w:rFonts w:asciiTheme="minorHAnsi" w:eastAsia="Cambria" w:hAnsiTheme="minorHAnsi" w:cs="Baskerville"/>
        </w:rPr>
        <w:t>Boudjaoui</w:t>
      </w:r>
      <w:proofErr w:type="spellEnd"/>
      <w:r w:rsidRPr="00CA6291">
        <w:rPr>
          <w:rFonts w:asciiTheme="minorHAnsi" w:eastAsia="Cambria" w:hAnsiTheme="minorHAnsi" w:cs="Baskerville"/>
        </w:rPr>
        <w:t>., 2012, p.5).</w:t>
      </w:r>
      <w:r w:rsidR="004C04D9">
        <w:rPr>
          <w:rFonts w:asciiTheme="minorHAnsi" w:hAnsiTheme="minorHAnsi"/>
        </w:rPr>
        <w:t xml:space="preserve"> </w:t>
      </w:r>
      <w:r w:rsidRPr="00741105">
        <w:rPr>
          <w:rFonts w:asciiTheme="minorHAnsi" w:hAnsiTheme="minorHAnsi"/>
        </w:rPr>
        <w:t>La (</w:t>
      </w:r>
      <w:proofErr w:type="spellStart"/>
      <w:r w:rsidRPr="00741105">
        <w:rPr>
          <w:rFonts w:asciiTheme="minorHAnsi" w:hAnsiTheme="minorHAnsi"/>
        </w:rPr>
        <w:t>trans</w:t>
      </w:r>
      <w:proofErr w:type="spellEnd"/>
      <w:r w:rsidRPr="00741105">
        <w:rPr>
          <w:rFonts w:asciiTheme="minorHAnsi" w:hAnsiTheme="minorHAnsi"/>
        </w:rPr>
        <w:t>)formation</w:t>
      </w:r>
      <w:r w:rsidRPr="00E05DE6">
        <w:rPr>
          <w:rFonts w:asciiTheme="minorHAnsi" w:hAnsiTheme="minorHAnsi"/>
        </w:rPr>
        <w:t xml:space="preserve"> pratique professionnelle (celle des enseignants, mais aussi celle des chercheurs) </w:t>
      </w:r>
      <w:r w:rsidR="004C04D9">
        <w:rPr>
          <w:rFonts w:asciiTheme="minorHAnsi" w:hAnsiTheme="minorHAnsi"/>
        </w:rPr>
        <w:t xml:space="preserve">en </w:t>
      </w:r>
      <w:r w:rsidRPr="00E05DE6">
        <w:rPr>
          <w:rFonts w:asciiTheme="minorHAnsi" w:hAnsiTheme="minorHAnsi"/>
        </w:rPr>
        <w:t xml:space="preserve">est </w:t>
      </w:r>
      <w:r>
        <w:rPr>
          <w:rFonts w:asciiTheme="minorHAnsi" w:hAnsiTheme="minorHAnsi"/>
        </w:rPr>
        <w:t xml:space="preserve"> </w:t>
      </w:r>
      <w:r w:rsidRPr="00E05DE6">
        <w:rPr>
          <w:rFonts w:asciiTheme="minorHAnsi" w:hAnsiTheme="minorHAnsi"/>
        </w:rPr>
        <w:t>une conséquence, un effet possib</w:t>
      </w:r>
      <w:r w:rsidR="004C04D9">
        <w:rPr>
          <w:rFonts w:asciiTheme="minorHAnsi" w:hAnsiTheme="minorHAnsi"/>
        </w:rPr>
        <w:t>le.</w:t>
      </w:r>
      <w:r w:rsidRPr="00E05DE6">
        <w:rPr>
          <w:rFonts w:asciiTheme="minorHAnsi" w:hAnsiTheme="minorHAnsi"/>
        </w:rPr>
        <w:t xml:space="preserve"> </w:t>
      </w:r>
    </w:p>
    <w:p w:rsidR="008E3E2B" w:rsidRPr="00E05DE6" w:rsidRDefault="004C04D9" w:rsidP="00FF7B8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 </w:t>
      </w:r>
      <w:r w:rsidR="008E3E2B" w:rsidRPr="00E05DE6">
        <w:rPr>
          <w:rFonts w:asciiTheme="minorHAnsi" w:hAnsiTheme="minorHAnsi"/>
        </w:rPr>
        <w:t>phase</w:t>
      </w:r>
      <w:r>
        <w:rPr>
          <w:rFonts w:asciiTheme="minorHAnsi" w:hAnsiTheme="minorHAnsi"/>
        </w:rPr>
        <w:t xml:space="preserve"> 1</w:t>
      </w:r>
      <w:r w:rsidR="008E3E2B" w:rsidRPr="00E05DE6">
        <w:rPr>
          <w:rFonts w:asciiTheme="minorHAnsi" w:hAnsiTheme="minorHAnsi"/>
        </w:rPr>
        <w:t xml:space="preserve"> de la rech</w:t>
      </w:r>
      <w:r>
        <w:rPr>
          <w:rFonts w:asciiTheme="minorHAnsi" w:hAnsiTheme="minorHAnsi"/>
        </w:rPr>
        <w:t xml:space="preserve">erche </w:t>
      </w:r>
      <w:r w:rsidR="00DA421C">
        <w:rPr>
          <w:rFonts w:asciiTheme="minorHAnsi" w:hAnsiTheme="minorHAnsi"/>
        </w:rPr>
        <w:t xml:space="preserve">(entretiens) </w:t>
      </w:r>
      <w:r>
        <w:rPr>
          <w:rFonts w:asciiTheme="minorHAnsi" w:hAnsiTheme="minorHAnsi"/>
        </w:rPr>
        <w:t>montre</w:t>
      </w:r>
      <w:r w:rsidR="008E3E2B" w:rsidRPr="00E05DE6">
        <w:rPr>
          <w:rFonts w:asciiTheme="minorHAnsi" w:hAnsiTheme="minorHAnsi"/>
        </w:rPr>
        <w:t xml:space="preserve"> que les enseignants connaiss</w:t>
      </w:r>
      <w:r w:rsidR="008E3E2B">
        <w:rPr>
          <w:rFonts w:asciiTheme="minorHAnsi" w:hAnsiTheme="minorHAnsi"/>
        </w:rPr>
        <w:t>ai</w:t>
      </w:r>
      <w:r w:rsidR="008E3E2B" w:rsidRPr="00E05DE6">
        <w:rPr>
          <w:rFonts w:asciiTheme="minorHAnsi" w:hAnsiTheme="minorHAnsi"/>
        </w:rPr>
        <w:t xml:space="preserve">ent peu les stratégies d’apprentissage individuelles des élèves </w:t>
      </w:r>
      <w:r w:rsidR="008E3E2B">
        <w:rPr>
          <w:rFonts w:asciiTheme="minorHAnsi" w:hAnsiTheme="minorHAnsi"/>
        </w:rPr>
        <w:t xml:space="preserve">et les </w:t>
      </w:r>
      <w:proofErr w:type="spellStart"/>
      <w:r w:rsidR="008E3E2B">
        <w:rPr>
          <w:rFonts w:asciiTheme="minorHAnsi" w:hAnsiTheme="minorHAnsi"/>
        </w:rPr>
        <w:t>didactisaient</w:t>
      </w:r>
      <w:proofErr w:type="spellEnd"/>
      <w:r w:rsidR="008E3E2B">
        <w:rPr>
          <w:rFonts w:asciiTheme="minorHAnsi" w:hAnsiTheme="minorHAnsi"/>
        </w:rPr>
        <w:t xml:space="preserve"> peu</w:t>
      </w:r>
      <w:r w:rsidR="008E3E2B" w:rsidRPr="00E05DE6">
        <w:rPr>
          <w:rFonts w:asciiTheme="minorHAnsi" w:hAnsiTheme="minorHAnsi"/>
        </w:rPr>
        <w:t xml:space="preserve">. </w:t>
      </w:r>
      <w:r w:rsidR="00DA421C">
        <w:rPr>
          <w:rFonts w:asciiTheme="minorHAnsi" w:hAnsiTheme="minorHAnsi"/>
        </w:rPr>
        <w:t xml:space="preserve">Lors de </w:t>
      </w:r>
      <w:r w:rsidR="008E3E2B">
        <w:rPr>
          <w:rFonts w:asciiTheme="minorHAnsi" w:hAnsiTheme="minorHAnsi"/>
        </w:rPr>
        <w:t>la</w:t>
      </w:r>
      <w:r>
        <w:rPr>
          <w:rFonts w:asciiTheme="minorHAnsi" w:hAnsiTheme="minorHAnsi"/>
        </w:rPr>
        <w:t xml:space="preserve"> phase 2</w:t>
      </w:r>
      <w:r w:rsidR="008E3E2B" w:rsidRPr="00E05DE6">
        <w:rPr>
          <w:rFonts w:asciiTheme="minorHAnsi" w:hAnsiTheme="minorHAnsi"/>
        </w:rPr>
        <w:t> :</w:t>
      </w:r>
      <w:r w:rsidR="008E3E2B">
        <w:rPr>
          <w:rFonts w:asciiTheme="minorHAnsi" w:hAnsiTheme="minorHAnsi"/>
          <w:lang w:eastAsia="fr-FR"/>
        </w:rPr>
        <w:t xml:space="preserve"> 8 </w:t>
      </w:r>
      <w:r w:rsidR="008E3E2B" w:rsidRPr="00E05DE6">
        <w:rPr>
          <w:rFonts w:asciiTheme="minorHAnsi" w:hAnsiTheme="minorHAnsi"/>
          <w:lang w:eastAsia="fr-FR"/>
        </w:rPr>
        <w:t>enseignants se sont réunis avec les chercheurs toutes les six semain</w:t>
      </w:r>
      <w:r>
        <w:rPr>
          <w:rFonts w:asciiTheme="minorHAnsi" w:hAnsiTheme="minorHAnsi"/>
          <w:lang w:eastAsia="fr-FR"/>
        </w:rPr>
        <w:t>es pendant une année (8</w:t>
      </w:r>
      <w:r w:rsidR="008E3E2B" w:rsidRPr="00E05DE6">
        <w:rPr>
          <w:rFonts w:asciiTheme="minorHAnsi" w:hAnsiTheme="minorHAnsi"/>
          <w:lang w:eastAsia="fr-FR"/>
        </w:rPr>
        <w:t xml:space="preserve"> moments forts), et ont travaillé de concert lors de séances réflexives pour : </w:t>
      </w:r>
      <w:r>
        <w:rPr>
          <w:rFonts w:asciiTheme="minorHAnsi" w:hAnsiTheme="minorHAnsi"/>
          <w:lang w:eastAsia="fr-FR"/>
        </w:rPr>
        <w:t xml:space="preserve">identifier et </w:t>
      </w:r>
      <w:r w:rsidR="008E3E2B" w:rsidRPr="00E05DE6">
        <w:rPr>
          <w:rFonts w:asciiTheme="minorHAnsi" w:hAnsiTheme="minorHAnsi"/>
          <w:lang w:eastAsia="fr-FR"/>
        </w:rPr>
        <w:t>mieux adapter leurs gestes professionnels à leurs élèves allophone</w:t>
      </w:r>
      <w:r>
        <w:rPr>
          <w:rFonts w:asciiTheme="minorHAnsi" w:hAnsiTheme="minorHAnsi"/>
          <w:lang w:eastAsia="fr-FR"/>
        </w:rPr>
        <w:t>s (objectifs des enseignants),</w:t>
      </w:r>
      <w:r w:rsidR="008E3E2B" w:rsidRPr="00E05DE6">
        <w:rPr>
          <w:rFonts w:asciiTheme="minorHAnsi" w:hAnsiTheme="minorHAnsi"/>
          <w:lang w:eastAsia="fr-FR"/>
        </w:rPr>
        <w:t xml:space="preserve"> comprendre comment les interactions entre le monde de la recherche et le monde de l’enseignement favorisent un développement professionnel au bénéfice des élèves les plus fr</w:t>
      </w:r>
      <w:r w:rsidR="008E3E2B">
        <w:rPr>
          <w:rFonts w:asciiTheme="minorHAnsi" w:hAnsiTheme="minorHAnsi"/>
          <w:lang w:eastAsia="fr-FR"/>
        </w:rPr>
        <w:t>agiles (objectif des chercheurs</w:t>
      </w:r>
      <w:r w:rsidR="008E3E2B" w:rsidRPr="00E05DE6">
        <w:rPr>
          <w:rFonts w:asciiTheme="minorHAnsi" w:hAnsiTheme="minorHAnsi"/>
          <w:lang w:eastAsia="fr-FR"/>
        </w:rPr>
        <w:t xml:space="preserve">). </w:t>
      </w:r>
    </w:p>
    <w:p w:rsidR="008E3E2B" w:rsidRDefault="008E3E2B" w:rsidP="00FF7B83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lang w:eastAsia="fr-FR"/>
        </w:rPr>
        <w:t>L’</w:t>
      </w:r>
      <w:r w:rsidRPr="00E05DE6">
        <w:rPr>
          <w:rFonts w:asciiTheme="minorHAnsi" w:hAnsiTheme="minorHAnsi"/>
          <w:lang w:eastAsia="fr-FR"/>
        </w:rPr>
        <w:t>analyse discursive</w:t>
      </w:r>
      <w:r>
        <w:rPr>
          <w:rFonts w:asciiTheme="minorHAnsi" w:hAnsiTheme="minorHAnsi"/>
          <w:lang w:eastAsia="fr-FR"/>
        </w:rPr>
        <w:t xml:space="preserve"> des échanges entre enseignants et chercheurs</w:t>
      </w:r>
      <w:r w:rsidR="00DA421C">
        <w:rPr>
          <w:rFonts w:asciiTheme="minorHAnsi" w:hAnsiTheme="minorHAnsi"/>
          <w:lang w:eastAsia="fr-FR"/>
        </w:rPr>
        <w:t xml:space="preserve"> (entretiens puis réunions)</w:t>
      </w:r>
      <w:r w:rsidRPr="00E05DE6">
        <w:rPr>
          <w:rFonts w:asciiTheme="minorHAnsi" w:hAnsiTheme="minorHAnsi"/>
          <w:lang w:eastAsia="fr-FR"/>
        </w:rPr>
        <w:t xml:space="preserve"> </w:t>
      </w:r>
      <w:r>
        <w:rPr>
          <w:rFonts w:asciiTheme="minorHAnsi" w:hAnsiTheme="minorHAnsi"/>
          <w:lang w:eastAsia="fr-FR"/>
        </w:rPr>
        <w:t xml:space="preserve">montre </w:t>
      </w:r>
      <w:r w:rsidR="004C04D9">
        <w:rPr>
          <w:rFonts w:asciiTheme="minorHAnsi" w:hAnsiTheme="minorHAnsi"/>
          <w:lang w:eastAsia="fr-FR"/>
        </w:rPr>
        <w:t>trois éléments variant</w:t>
      </w:r>
      <w:r w:rsidRPr="00E05DE6">
        <w:rPr>
          <w:rFonts w:asciiTheme="minorHAnsi" w:hAnsiTheme="minorHAnsi"/>
          <w:lang w:eastAsia="fr-FR"/>
        </w:rPr>
        <w:t xml:space="preserve"> au cours du </w:t>
      </w:r>
      <w:r w:rsidRPr="00E05DE6">
        <w:rPr>
          <w:rFonts w:asciiTheme="minorHAnsi" w:hAnsiTheme="minorHAnsi"/>
        </w:rPr>
        <w:t xml:space="preserve">temps dans les discours : </w:t>
      </w:r>
      <w:r>
        <w:rPr>
          <w:rFonts w:asciiTheme="minorHAnsi" w:hAnsiTheme="minorHAnsi"/>
          <w:b/>
        </w:rPr>
        <w:t>les modes de</w:t>
      </w:r>
      <w:r w:rsidRPr="00D45332">
        <w:rPr>
          <w:rFonts w:asciiTheme="minorHAnsi" w:hAnsiTheme="minorHAnsi"/>
          <w:b/>
        </w:rPr>
        <w:t xml:space="preserve"> désignation des élèves, la mobilisa</w:t>
      </w:r>
      <w:r>
        <w:rPr>
          <w:rFonts w:asciiTheme="minorHAnsi" w:hAnsiTheme="minorHAnsi"/>
          <w:b/>
        </w:rPr>
        <w:t>tion de savoirs théoriques (</w:t>
      </w:r>
      <w:r w:rsidRPr="00CA6291">
        <w:rPr>
          <w:rFonts w:asciiTheme="minorHAnsi" w:hAnsiTheme="minorHAnsi"/>
          <w:b/>
          <w:i/>
        </w:rPr>
        <w:t>vs</w:t>
      </w:r>
      <w:r>
        <w:rPr>
          <w:rFonts w:asciiTheme="minorHAnsi" w:hAnsiTheme="minorHAnsi"/>
          <w:b/>
        </w:rPr>
        <w:t xml:space="preserve"> savoirs pratiques)</w:t>
      </w:r>
      <w:r w:rsidRPr="00D45332">
        <w:rPr>
          <w:rFonts w:asciiTheme="minorHAnsi" w:hAnsiTheme="minorHAnsi"/>
          <w:b/>
        </w:rPr>
        <w:t xml:space="preserve">, les </w:t>
      </w:r>
      <w:r>
        <w:rPr>
          <w:rFonts w:asciiTheme="minorHAnsi" w:hAnsiTheme="minorHAnsi"/>
          <w:b/>
        </w:rPr>
        <w:t xml:space="preserve">modalisations associées à </w:t>
      </w:r>
      <w:r w:rsidR="004C04D9">
        <w:rPr>
          <w:rFonts w:asciiTheme="minorHAnsi" w:hAnsiTheme="minorHAnsi"/>
          <w:b/>
        </w:rPr>
        <w:t>l’efficacité</w:t>
      </w:r>
      <w:r w:rsidRPr="00D45332">
        <w:rPr>
          <w:rFonts w:asciiTheme="minorHAnsi" w:hAnsiTheme="minorHAnsi"/>
          <w:b/>
        </w:rPr>
        <w:t xml:space="preserve"> d’un geste professionnel</w:t>
      </w:r>
      <w:r>
        <w:rPr>
          <w:rFonts w:asciiTheme="minorHAnsi" w:hAnsiTheme="minorHAnsi"/>
          <w:b/>
        </w:rPr>
        <w:t xml:space="preserve"> visant à favoriser le développement langagier des élèves</w:t>
      </w:r>
      <w:r w:rsidRPr="00E05DE6">
        <w:rPr>
          <w:rFonts w:asciiTheme="minorHAnsi" w:hAnsiTheme="minorHAnsi"/>
        </w:rPr>
        <w:t xml:space="preserve">.  </w:t>
      </w:r>
      <w:r>
        <w:rPr>
          <w:rFonts w:asciiTheme="minorHAnsi" w:hAnsiTheme="minorHAnsi"/>
        </w:rPr>
        <w:t>U</w:t>
      </w:r>
      <w:r w:rsidRPr="00E05DE6">
        <w:rPr>
          <w:rFonts w:asciiTheme="minorHAnsi" w:hAnsiTheme="minorHAnsi"/>
        </w:rPr>
        <w:t>ne certaine précision des savoirs semble s’être diluée</w:t>
      </w:r>
      <w:r>
        <w:rPr>
          <w:rFonts w:asciiTheme="minorHAnsi" w:hAnsiTheme="minorHAnsi"/>
        </w:rPr>
        <w:t xml:space="preserve"> dans les discours</w:t>
      </w:r>
      <w:r w:rsidRPr="00E05DE6">
        <w:rPr>
          <w:rFonts w:asciiTheme="minorHAnsi" w:hAnsiTheme="minorHAnsi"/>
        </w:rPr>
        <w:t xml:space="preserve"> alors que, dans le même temps, une expertise professionnelle quant aux situations d’inégalités scolaire</w:t>
      </w:r>
      <w:r>
        <w:rPr>
          <w:rFonts w:asciiTheme="minorHAnsi" w:hAnsiTheme="minorHAnsi"/>
        </w:rPr>
        <w:t>s a semblé</w:t>
      </w:r>
      <w:r w:rsidRPr="00E05DE6">
        <w:rPr>
          <w:rFonts w:asciiTheme="minorHAnsi" w:hAnsiTheme="minorHAnsi"/>
        </w:rPr>
        <w:t xml:space="preserve"> se forger chez tous. </w:t>
      </w:r>
      <w:r w:rsidR="004C04D9">
        <w:rPr>
          <w:rFonts w:asciiTheme="minorHAnsi" w:hAnsiTheme="minorHAnsi"/>
        </w:rPr>
        <w:t xml:space="preserve">Si </w:t>
      </w:r>
      <w:r w:rsidR="004C04D9" w:rsidRPr="00E05DE6">
        <w:rPr>
          <w:rFonts w:asciiTheme="minorHAnsi" w:hAnsiTheme="minorHAnsi"/>
        </w:rPr>
        <w:t xml:space="preserve">des échanges entre chercheurs et enseignants sont toujours fructueux, ils ne suffisent </w:t>
      </w:r>
      <w:r w:rsidR="004C04D9">
        <w:rPr>
          <w:rFonts w:asciiTheme="minorHAnsi" w:hAnsiTheme="minorHAnsi"/>
        </w:rPr>
        <w:t>pas</w:t>
      </w:r>
      <w:r w:rsidR="004C04D9" w:rsidRPr="00E05DE6">
        <w:rPr>
          <w:rFonts w:asciiTheme="minorHAnsi" w:hAnsiTheme="minorHAnsi"/>
        </w:rPr>
        <w:t xml:space="preserve">, à eux seuls, à soutenir </w:t>
      </w:r>
      <w:r w:rsidR="004C04D9" w:rsidRPr="00741105">
        <w:rPr>
          <w:rFonts w:asciiTheme="minorHAnsi" w:hAnsiTheme="minorHAnsi"/>
        </w:rPr>
        <w:t>le développement professionnel des enseignants ni à identifier des pratiques qui seraient plus inclusives que d’autres  (</w:t>
      </w:r>
      <w:proofErr w:type="spellStart"/>
      <w:r w:rsidR="004C04D9" w:rsidRPr="00741105">
        <w:rPr>
          <w:rFonts w:asciiTheme="minorHAnsi" w:hAnsiTheme="minorHAnsi"/>
        </w:rPr>
        <w:t>Helot</w:t>
      </w:r>
      <w:proofErr w:type="spellEnd"/>
      <w:r w:rsidR="004C04D9" w:rsidRPr="00741105">
        <w:rPr>
          <w:rFonts w:asciiTheme="minorHAnsi" w:hAnsiTheme="minorHAnsi"/>
        </w:rPr>
        <w:t xml:space="preserve">, 2014, </w:t>
      </w:r>
      <w:proofErr w:type="spellStart"/>
      <w:r w:rsidR="004C04D9" w:rsidRPr="00741105">
        <w:rPr>
          <w:rFonts w:asciiTheme="minorHAnsi" w:hAnsiTheme="minorHAnsi"/>
        </w:rPr>
        <w:t>Castellott</w:t>
      </w:r>
      <w:r w:rsidR="004C04D9">
        <w:rPr>
          <w:rFonts w:asciiTheme="minorHAnsi" w:hAnsiTheme="minorHAnsi"/>
        </w:rPr>
        <w:t>i</w:t>
      </w:r>
      <w:proofErr w:type="spellEnd"/>
      <w:r w:rsidR="004C04D9">
        <w:rPr>
          <w:rFonts w:asciiTheme="minorHAnsi" w:hAnsiTheme="minorHAnsi"/>
        </w:rPr>
        <w:t xml:space="preserve"> 2013</w:t>
      </w:r>
      <w:r w:rsidR="004C04D9" w:rsidRPr="00741105">
        <w:rPr>
          <w:rFonts w:asciiTheme="minorHAnsi" w:hAnsiTheme="minorHAnsi"/>
        </w:rPr>
        <w:t>).</w:t>
      </w:r>
      <w:r w:rsidR="004C04D9">
        <w:rPr>
          <w:rFonts w:asciiTheme="minorHAnsi" w:hAnsiTheme="minorHAnsi"/>
        </w:rPr>
        <w:t xml:space="preserve"> </w:t>
      </w:r>
      <w:r w:rsidRPr="00E05DE6">
        <w:rPr>
          <w:rFonts w:asciiTheme="minorHAnsi" w:hAnsiTheme="minorHAnsi"/>
        </w:rPr>
        <w:t>Le protocole</w:t>
      </w:r>
      <w:r>
        <w:rPr>
          <w:rFonts w:asciiTheme="minorHAnsi" w:hAnsiTheme="minorHAnsi"/>
        </w:rPr>
        <w:t xml:space="preserve"> de cette phase 2</w:t>
      </w:r>
      <w:r w:rsidRPr="00E05DE6">
        <w:rPr>
          <w:rFonts w:asciiTheme="minorHAnsi" w:hAnsiTheme="minorHAnsi"/>
        </w:rPr>
        <w:t xml:space="preserve"> n’a </w:t>
      </w:r>
      <w:r w:rsidR="004C04D9">
        <w:rPr>
          <w:rFonts w:asciiTheme="minorHAnsi" w:hAnsiTheme="minorHAnsi"/>
        </w:rPr>
        <w:t xml:space="preserve">ainsi </w:t>
      </w:r>
      <w:r w:rsidRPr="00E05DE6">
        <w:rPr>
          <w:rFonts w:asciiTheme="minorHAnsi" w:hAnsiTheme="minorHAnsi"/>
        </w:rPr>
        <w:t>pas permis d’en évaluer précisément les effets sur les apprentissages des élèves</w:t>
      </w:r>
      <w:r>
        <w:rPr>
          <w:rFonts w:asciiTheme="minorHAnsi" w:hAnsiTheme="minorHAnsi"/>
        </w:rPr>
        <w:t>, ce qui est pris en charge par les chercheurs dans la phase 3 (en cours). La question de l’évaluation d’un dispositif collaboratif</w:t>
      </w:r>
      <w:r w:rsidR="004C04D9">
        <w:rPr>
          <w:rFonts w:asciiTheme="minorHAnsi" w:hAnsiTheme="minorHAnsi"/>
        </w:rPr>
        <w:t xml:space="preserve"> sera donc discutée.</w:t>
      </w:r>
    </w:p>
    <w:p w:rsidR="008E3E2B" w:rsidRPr="00DA421C" w:rsidRDefault="008E3E2B" w:rsidP="00DA421C">
      <w:pPr>
        <w:jc w:val="both"/>
        <w:rPr>
          <w:rFonts w:asciiTheme="minorHAnsi" w:hAnsiTheme="minorHAnsi"/>
        </w:rPr>
      </w:pPr>
      <w:r w:rsidRPr="00DA421C">
        <w:rPr>
          <w:rFonts w:asciiTheme="minorHAnsi" w:hAnsiTheme="minorHAnsi"/>
        </w:rPr>
        <w:lastRenderedPageBreak/>
        <w:t>CARRÉ, P. (2005). L’</w:t>
      </w:r>
      <w:proofErr w:type="spellStart"/>
      <w:r w:rsidRPr="00DA421C">
        <w:rPr>
          <w:rFonts w:asciiTheme="minorHAnsi" w:hAnsiTheme="minorHAnsi"/>
        </w:rPr>
        <w:t>apprenance</w:t>
      </w:r>
      <w:proofErr w:type="spellEnd"/>
      <w:r w:rsidRPr="00DA421C">
        <w:rPr>
          <w:rFonts w:asciiTheme="minorHAnsi" w:hAnsiTheme="minorHAnsi"/>
        </w:rPr>
        <w:t xml:space="preserve"> : vers un nouveau rapport au savoir. Paris : </w:t>
      </w:r>
      <w:proofErr w:type="spellStart"/>
      <w:r w:rsidRPr="00DA421C">
        <w:rPr>
          <w:rFonts w:asciiTheme="minorHAnsi" w:hAnsiTheme="minorHAnsi"/>
        </w:rPr>
        <w:t>Dunod</w:t>
      </w:r>
      <w:proofErr w:type="spellEnd"/>
      <w:r w:rsidRPr="00DA421C">
        <w:rPr>
          <w:rFonts w:asciiTheme="minorHAnsi" w:hAnsiTheme="minorHAnsi"/>
        </w:rPr>
        <w:t>.</w:t>
      </w:r>
    </w:p>
    <w:p w:rsidR="008E3E2B" w:rsidRPr="00DA421C" w:rsidRDefault="008E3E2B" w:rsidP="00DA421C">
      <w:pPr>
        <w:jc w:val="both"/>
        <w:rPr>
          <w:rFonts w:asciiTheme="minorHAnsi" w:hAnsiTheme="minorHAnsi"/>
        </w:rPr>
      </w:pPr>
      <w:r w:rsidRPr="00DA421C">
        <w:rPr>
          <w:rFonts w:asciiTheme="minorHAnsi" w:hAnsiTheme="minorHAnsi"/>
        </w:rPr>
        <w:t>BOURASSA, B &amp; BOUDJAOUI, M. (</w:t>
      </w:r>
      <w:proofErr w:type="spellStart"/>
      <w:r w:rsidRPr="00DA421C">
        <w:rPr>
          <w:rFonts w:asciiTheme="minorHAnsi" w:hAnsiTheme="minorHAnsi"/>
        </w:rPr>
        <w:t>dir</w:t>
      </w:r>
      <w:proofErr w:type="spellEnd"/>
      <w:r w:rsidRPr="00DA421C">
        <w:rPr>
          <w:rFonts w:asciiTheme="minorHAnsi" w:hAnsiTheme="minorHAnsi"/>
        </w:rPr>
        <w:t xml:space="preserve">.) (2012). </w:t>
      </w:r>
      <w:r w:rsidRPr="00DA421C">
        <w:rPr>
          <w:rFonts w:asciiTheme="minorHAnsi" w:hAnsiTheme="minorHAnsi"/>
          <w:i/>
          <w:iCs/>
        </w:rPr>
        <w:t>Des recherches collaborative en sciences humaines et sociales: enjeux, modalités et limites</w:t>
      </w:r>
      <w:r w:rsidRPr="00DA421C">
        <w:rPr>
          <w:rFonts w:asciiTheme="minorHAnsi" w:hAnsiTheme="minorHAnsi"/>
        </w:rPr>
        <w:t>. Québec: Presses de l’Université Laval.</w:t>
      </w:r>
    </w:p>
    <w:p w:rsidR="008E3E2B" w:rsidRPr="00DA421C" w:rsidRDefault="008E3E2B" w:rsidP="00DA421C">
      <w:pPr>
        <w:jc w:val="both"/>
        <w:rPr>
          <w:rFonts w:asciiTheme="minorHAnsi" w:hAnsiTheme="minorHAnsi"/>
        </w:rPr>
      </w:pPr>
      <w:r w:rsidRPr="00DA421C">
        <w:rPr>
          <w:rFonts w:asciiTheme="minorHAnsi" w:hAnsiTheme="minorHAnsi"/>
        </w:rPr>
        <w:t xml:space="preserve">CASTELLOTTI, V. (2013) « L’articulation recherche-intervention en DDL : comment (ne pas) en sortir ? Dans </w:t>
      </w:r>
      <w:proofErr w:type="spellStart"/>
      <w:r w:rsidRPr="00DA421C">
        <w:rPr>
          <w:rFonts w:asciiTheme="minorHAnsi" w:hAnsiTheme="minorHAnsi"/>
        </w:rPr>
        <w:t>Beacco</w:t>
      </w:r>
      <w:proofErr w:type="spellEnd"/>
      <w:r w:rsidRPr="00DA421C">
        <w:rPr>
          <w:rFonts w:asciiTheme="minorHAnsi" w:hAnsiTheme="minorHAnsi"/>
        </w:rPr>
        <w:t>, J.C. (</w:t>
      </w:r>
      <w:proofErr w:type="spellStart"/>
      <w:r w:rsidRPr="00DA421C">
        <w:rPr>
          <w:rFonts w:asciiTheme="minorHAnsi" w:hAnsiTheme="minorHAnsi"/>
        </w:rPr>
        <w:t>dir</w:t>
      </w:r>
      <w:proofErr w:type="spellEnd"/>
      <w:r w:rsidRPr="00DA421C">
        <w:rPr>
          <w:rFonts w:asciiTheme="minorHAnsi" w:hAnsiTheme="minorHAnsi"/>
        </w:rPr>
        <w:t xml:space="preserve">.), </w:t>
      </w:r>
      <w:r w:rsidRPr="00DA421C">
        <w:rPr>
          <w:rFonts w:asciiTheme="minorHAnsi" w:hAnsiTheme="minorHAnsi"/>
          <w:i/>
          <w:iCs/>
        </w:rPr>
        <w:t xml:space="preserve">Éthique et politique en didactique des langues. Autour de </w:t>
      </w:r>
      <w:r w:rsidRPr="00DA421C">
        <w:rPr>
          <w:rFonts w:asciiTheme="minorHAnsi" w:hAnsiTheme="minorHAnsi"/>
        </w:rPr>
        <w:t xml:space="preserve">la notion de responsabilité, Paris : Didier. Paris, 74-98. </w:t>
      </w:r>
    </w:p>
    <w:p w:rsidR="008E3E2B" w:rsidRPr="00DA421C" w:rsidRDefault="008E3E2B" w:rsidP="00DA421C">
      <w:pPr>
        <w:jc w:val="both"/>
        <w:rPr>
          <w:rFonts w:asciiTheme="minorHAnsi" w:hAnsiTheme="minorHAnsi"/>
          <w:smallCaps/>
        </w:rPr>
      </w:pPr>
      <w:proofErr w:type="spellStart"/>
      <w:r w:rsidRPr="00DA421C">
        <w:rPr>
          <w:rStyle w:val="BibliographieNoms"/>
          <w:rFonts w:asciiTheme="minorHAnsi" w:hAnsiTheme="minorHAnsi"/>
        </w:rPr>
        <w:t>Hélot</w:t>
      </w:r>
      <w:proofErr w:type="spellEnd"/>
      <w:r w:rsidRPr="00DA421C">
        <w:rPr>
          <w:rStyle w:val="BibliographieNoms"/>
          <w:rFonts w:asciiTheme="minorHAnsi" w:hAnsiTheme="minorHAnsi"/>
        </w:rPr>
        <w:t>, C. (2014). « </w:t>
      </w:r>
      <w:r w:rsidRPr="00DA421C">
        <w:rPr>
          <w:rStyle w:val="BibliographieNoms"/>
          <w:rFonts w:asciiTheme="minorHAnsi" w:hAnsiTheme="minorHAnsi"/>
          <w:smallCaps w:val="0"/>
        </w:rPr>
        <w:t xml:space="preserve">Apprendre plusieurs langues, plusieurs langues pour apprendre. Les enjeux socio-éducatifs du bilinguisme et du plurilinguisme. » Dans Isabelle </w:t>
      </w:r>
      <w:proofErr w:type="spellStart"/>
      <w:r w:rsidRPr="00DA421C">
        <w:rPr>
          <w:rStyle w:val="BibliographieNoms"/>
          <w:rFonts w:asciiTheme="minorHAnsi" w:hAnsiTheme="minorHAnsi"/>
          <w:smallCaps w:val="0"/>
        </w:rPr>
        <w:t>Nocus</w:t>
      </w:r>
      <w:proofErr w:type="spellEnd"/>
      <w:r w:rsidRPr="00DA421C">
        <w:rPr>
          <w:rStyle w:val="BibliographieNoms"/>
          <w:rFonts w:asciiTheme="minorHAnsi" w:hAnsiTheme="minorHAnsi"/>
          <w:smallCaps w:val="0"/>
        </w:rPr>
        <w:t xml:space="preserve">, Jacques </w:t>
      </w:r>
      <w:proofErr w:type="spellStart"/>
      <w:r w:rsidRPr="00DA421C">
        <w:rPr>
          <w:rStyle w:val="BibliographieNoms"/>
          <w:rFonts w:asciiTheme="minorHAnsi" w:hAnsiTheme="minorHAnsi"/>
          <w:smallCaps w:val="0"/>
        </w:rPr>
        <w:t>Vernaudon</w:t>
      </w:r>
      <w:proofErr w:type="spellEnd"/>
      <w:r w:rsidRPr="00DA421C">
        <w:rPr>
          <w:rStyle w:val="BibliographieNoms"/>
          <w:rFonts w:asciiTheme="minorHAnsi" w:hAnsiTheme="minorHAnsi"/>
          <w:smallCaps w:val="0"/>
        </w:rPr>
        <w:t xml:space="preserve">, </w:t>
      </w:r>
      <w:proofErr w:type="spellStart"/>
      <w:r w:rsidRPr="00DA421C">
        <w:rPr>
          <w:rStyle w:val="BibliographieNoms"/>
          <w:rFonts w:asciiTheme="minorHAnsi" w:hAnsiTheme="minorHAnsi"/>
          <w:smallCaps w:val="0"/>
        </w:rPr>
        <w:t>Mirose</w:t>
      </w:r>
      <w:proofErr w:type="spellEnd"/>
      <w:r w:rsidRPr="00DA421C">
        <w:rPr>
          <w:rStyle w:val="BibliographieNoms"/>
          <w:rFonts w:asciiTheme="minorHAnsi" w:hAnsiTheme="minorHAnsi"/>
          <w:smallCaps w:val="0"/>
        </w:rPr>
        <w:t xml:space="preserve"> </w:t>
      </w:r>
      <w:proofErr w:type="spellStart"/>
      <w:r w:rsidRPr="00DA421C">
        <w:rPr>
          <w:rStyle w:val="BibliographieNoms"/>
          <w:rFonts w:asciiTheme="minorHAnsi" w:hAnsiTheme="minorHAnsi"/>
          <w:smallCaps w:val="0"/>
        </w:rPr>
        <w:t>Paia</w:t>
      </w:r>
      <w:proofErr w:type="spellEnd"/>
      <w:r w:rsidRPr="00DA421C">
        <w:rPr>
          <w:rStyle w:val="BibliographieNoms"/>
          <w:rFonts w:asciiTheme="minorHAnsi" w:hAnsiTheme="minorHAnsi"/>
          <w:smallCaps w:val="0"/>
        </w:rPr>
        <w:t xml:space="preserve"> (sous la </w:t>
      </w:r>
      <w:proofErr w:type="spellStart"/>
      <w:r w:rsidRPr="00DA421C">
        <w:rPr>
          <w:rStyle w:val="BibliographieNoms"/>
          <w:rFonts w:asciiTheme="minorHAnsi" w:hAnsiTheme="minorHAnsi"/>
          <w:smallCaps w:val="0"/>
        </w:rPr>
        <w:t>dir</w:t>
      </w:r>
      <w:proofErr w:type="spellEnd"/>
      <w:r w:rsidRPr="00DA421C">
        <w:rPr>
          <w:rStyle w:val="BibliographieNoms"/>
          <w:rFonts w:asciiTheme="minorHAnsi" w:hAnsiTheme="minorHAnsi"/>
          <w:smallCaps w:val="0"/>
        </w:rPr>
        <w:t xml:space="preserve">. De), </w:t>
      </w:r>
      <w:r w:rsidRPr="00DA421C">
        <w:rPr>
          <w:rStyle w:val="BibliographieNoms"/>
          <w:rFonts w:asciiTheme="minorHAnsi" w:hAnsiTheme="minorHAnsi"/>
          <w:i/>
          <w:smallCaps w:val="0"/>
        </w:rPr>
        <w:t xml:space="preserve">l’école plurilingue en outre-mer apprendre plusieurs langues, plusieurs langues pour apprendre, </w:t>
      </w:r>
      <w:r w:rsidRPr="00DA421C">
        <w:rPr>
          <w:rStyle w:val="BibliographieNoms"/>
          <w:rFonts w:asciiTheme="minorHAnsi" w:hAnsiTheme="minorHAnsi"/>
          <w:smallCaps w:val="0"/>
        </w:rPr>
        <w:t>Rennes, Presses Universitaires de Rennes, 2014, p. 65-84.</w:t>
      </w:r>
    </w:p>
    <w:p w:rsidR="00982B0D" w:rsidRPr="00336682" w:rsidRDefault="00982B0D" w:rsidP="008E3E2B">
      <w:pPr>
        <w:pStyle w:val="Cartable"/>
      </w:pPr>
    </w:p>
    <w:sectPr w:rsidR="00982B0D" w:rsidRPr="00336682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3E2B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9529C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7463D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143D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C04D9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1061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8E3E2B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029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0B40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A421C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1342F"/>
    <w:rsid w:val="00F24CA7"/>
    <w:rsid w:val="00F262A7"/>
    <w:rsid w:val="00F35785"/>
    <w:rsid w:val="00F61430"/>
    <w:rsid w:val="00F74E5F"/>
    <w:rsid w:val="00FA2C45"/>
    <w:rsid w:val="00FD7CC5"/>
    <w:rsid w:val="00FE02F7"/>
    <w:rsid w:val="00FE4D2A"/>
    <w:rsid w:val="00FE7427"/>
    <w:rsid w:val="00FF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21C"/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8E3E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3E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  <w:rsid w:val="00DA421C"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DA421C"/>
  </w:style>
  <w:style w:type="table" w:styleId="Grilledutableau">
    <w:name w:val="Table Grid"/>
    <w:basedOn w:val="TableauNormal"/>
    <w:uiPriority w:val="59"/>
    <w:rsid w:val="00DA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table">
    <w:name w:val="Cartable"/>
    <w:basedOn w:val="Normal"/>
    <w:qFormat/>
    <w:rsid w:val="00DA421C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DA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DA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DA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autoRedefine/>
    <w:qFormat/>
    <w:rsid w:val="00DA421C"/>
    <w:pPr>
      <w:spacing w:before="120"/>
      <w:ind w:left="1134"/>
      <w:jc w:val="both"/>
    </w:pPr>
    <w:rPr>
      <w:i/>
      <w:iCs/>
      <w:color w:val="000000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DA421C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DA421C"/>
    <w:rPr>
      <w:rFonts w:ascii="Calibri" w:hAnsi="Calibri" w:cs="Times New Roman"/>
      <w:i/>
      <w:iCs/>
      <w:color w:val="000000" w:themeColor="text1"/>
    </w:rPr>
  </w:style>
  <w:style w:type="paragraph" w:customStyle="1" w:styleId="HDRnotesbasdepage">
    <w:name w:val="HDR notes bas de page"/>
    <w:basedOn w:val="Normal"/>
    <w:autoRedefine/>
    <w:qFormat/>
    <w:rsid w:val="00DA421C"/>
    <w:pPr>
      <w:autoSpaceDE w:val="0"/>
      <w:autoSpaceDN w:val="0"/>
      <w:adjustRightInd w:val="0"/>
      <w:spacing w:after="120" w:line="240" w:lineRule="auto"/>
      <w:jc w:val="both"/>
    </w:pPr>
    <w:rPr>
      <w:sz w:val="20"/>
      <w:szCs w:val="24"/>
    </w:rPr>
  </w:style>
  <w:style w:type="paragraph" w:customStyle="1" w:styleId="Style8">
    <w:name w:val="Style8"/>
    <w:basedOn w:val="Normal"/>
    <w:autoRedefine/>
    <w:qFormat/>
    <w:rsid w:val="00DA421C"/>
    <w:pPr>
      <w:keepNext/>
      <w:keepLines/>
      <w:spacing w:before="480" w:after="360"/>
      <w:ind w:left="72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E3E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E3E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ibliographieNoms">
    <w:name w:val="Bibliographie_Noms"/>
    <w:basedOn w:val="Policepardfaut"/>
    <w:uiPriority w:val="1"/>
    <w:qFormat/>
    <w:rsid w:val="008E3E2B"/>
    <w:rPr>
      <w:smallCaps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8E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8E3E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78573-049F-4FE3-B8FF-2C351D18F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659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2019-04-03T11:07:00Z</dcterms:created>
  <dcterms:modified xsi:type="dcterms:W3CDTF">2019-04-08T11:28:00Z</dcterms:modified>
</cp:coreProperties>
</file>