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9C7" w:rsidRPr="008A0083" w:rsidRDefault="00CE3A86" w:rsidP="009D7491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E3A86">
        <w:rPr>
          <w:rFonts w:ascii="Times New Roman" w:hAnsi="Times New Roman" w:cs="Times New Roman"/>
          <w:b/>
          <w:sz w:val="28"/>
          <w:szCs w:val="28"/>
          <w:lang w:val="en-GB"/>
        </w:rPr>
        <w:t>A collaborative ethnography committed to empower waiters and maîtres d’hôtel to act through their interactions with chef and customers in restaurant-schools</w:t>
      </w:r>
    </w:p>
    <w:p w:rsidR="009D7491" w:rsidRPr="008A0083" w:rsidRDefault="009D7491" w:rsidP="009D749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E3A86" w:rsidRPr="00CE3A86" w:rsidRDefault="00CE3A86" w:rsidP="00CE3A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3A86">
        <w:rPr>
          <w:rFonts w:ascii="Times New Roman" w:hAnsi="Times New Roman" w:cs="Times New Roman"/>
          <w:sz w:val="24"/>
          <w:szCs w:val="24"/>
        </w:rPr>
        <w:t>Anchored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in the area of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training,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has been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over the last few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in the French-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Filliettaz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, 2014; Lambert &amp;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Veillard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, 2017). The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made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possible to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define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the importance of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and interactions in the training curriculum,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vectors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for the transmission of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practice and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and as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subjects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taught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>.</w:t>
      </w:r>
    </w:p>
    <w:p w:rsidR="00CE3A86" w:rsidRPr="00CE3A86" w:rsidRDefault="00CE3A86" w:rsidP="00CE3A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3A8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a perspective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inspired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ethnography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of communication (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Gumperz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Hymes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, 1972) and the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socialization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Schieffelin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&amp; Ochs, 1986 ;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Duranti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, Ochs, &amp;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Schieffelin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, 2012)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paradigms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contribution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on a collaborative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ethnography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recently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over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course (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Bachelors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) in Catering and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Hospitality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Management at the Institut Paul Bocuse (Ecully, France).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concepts and notions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mainly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borrowed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interactional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sociolinguistics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Gumperz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, 1982) and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microsociology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(Goffman, 1959, 1967), the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of the transmission-acquisition of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interactional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in catering and restaurant service.</w:t>
      </w:r>
    </w:p>
    <w:p w:rsidR="009D7491" w:rsidRPr="002A413E" w:rsidRDefault="00CE3A86" w:rsidP="00CE3A86">
      <w:pPr>
        <w:rPr>
          <w:rFonts w:ascii="Times New Roman" w:hAnsi="Times New Roman" w:cs="Times New Roman"/>
          <w:sz w:val="24"/>
          <w:szCs w:val="24"/>
        </w:rPr>
      </w:pPr>
      <w:r w:rsidRPr="00CE3A8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contribution,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presenting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how the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of interactions in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restaurants-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at the Institut Paul Bocuse,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brought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interesting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constructing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intended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training in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institution.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Amongst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, first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focus on the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the transmission of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interactional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in the training practices,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whereas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competences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mainly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in the table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waiting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. To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end,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categorized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the interactions in restaurants-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predetermined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scripts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do not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vary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premised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open interactions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are not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constrained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pre-defined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scripts. Second,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tackle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the collective and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shared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brought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to light in the service practices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restaurants-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helps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beginners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cooperate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conduct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issues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covers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training engineering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in close collaboration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the service staff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instructors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practice in the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institution’s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training restaurants on the basis of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above-mentioned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’ service performance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the incorporation of the changes made to the training course.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conclude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promising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prospects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of interactions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and training and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>.</w:t>
      </w:r>
    </w:p>
    <w:p w:rsidR="0093035A" w:rsidRPr="0093035A" w:rsidRDefault="0093035A" w:rsidP="00CE3A8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035A">
        <w:rPr>
          <w:rFonts w:ascii="Times New Roman" w:hAnsi="Times New Roman" w:cs="Times New Roman"/>
          <w:b/>
          <w:sz w:val="24"/>
          <w:szCs w:val="24"/>
        </w:rPr>
        <w:t>Bibliography</w:t>
      </w:r>
      <w:proofErr w:type="spellEnd"/>
    </w:p>
    <w:p w:rsidR="00CE3A86" w:rsidRPr="00CE3A86" w:rsidRDefault="00CE3A86" w:rsidP="00CE3A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3A86">
        <w:rPr>
          <w:rFonts w:ascii="Times New Roman" w:hAnsi="Times New Roman" w:cs="Times New Roman"/>
          <w:sz w:val="24"/>
          <w:szCs w:val="24"/>
        </w:rPr>
        <w:t>Duranti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, A., Ochs, E., &amp;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Schieffelin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, B. B. (2012). The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Handbook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Socialization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Malden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/Oxford/Chichester: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Wiley-Blackwell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>.</w:t>
      </w:r>
    </w:p>
    <w:p w:rsidR="00CE3A86" w:rsidRPr="00CE3A86" w:rsidRDefault="00CE3A86" w:rsidP="00CE3A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3A86">
        <w:rPr>
          <w:rFonts w:ascii="Times New Roman" w:hAnsi="Times New Roman" w:cs="Times New Roman"/>
          <w:sz w:val="24"/>
          <w:szCs w:val="24"/>
        </w:rPr>
        <w:t>Filliettaz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, L. (2014). Les pratiques langagières comme objet d’analyse et comme outil de formation continue : vers une linguistique impliquée en formation professionnelle. In A.-C.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lastRenderedPageBreak/>
        <w:t>Berthoud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et M. Burger, Repenser le rôle des pratiques langagières dans la constitution des espaces sociaux contemporains (pp. 125–146). Louvain-la-Neuve: De Boeck Supérieur.</w:t>
      </w:r>
    </w:p>
    <w:p w:rsidR="00CE3A86" w:rsidRPr="00CE3A86" w:rsidRDefault="00CE3A86" w:rsidP="00CE3A86">
      <w:pPr>
        <w:rPr>
          <w:rFonts w:ascii="Times New Roman" w:hAnsi="Times New Roman" w:cs="Times New Roman"/>
          <w:sz w:val="24"/>
          <w:szCs w:val="24"/>
        </w:rPr>
      </w:pPr>
      <w:r w:rsidRPr="00CE3A86">
        <w:rPr>
          <w:rFonts w:ascii="Times New Roman" w:hAnsi="Times New Roman" w:cs="Times New Roman"/>
          <w:sz w:val="24"/>
          <w:szCs w:val="24"/>
        </w:rPr>
        <w:t xml:space="preserve">Goffman, E. (1959). The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of self in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everyday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life. New York: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Doubleday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Anchor Books.</w:t>
      </w:r>
    </w:p>
    <w:p w:rsidR="00CE3A86" w:rsidRPr="00CE3A86" w:rsidRDefault="00CE3A86" w:rsidP="00CE3A86">
      <w:pPr>
        <w:rPr>
          <w:rFonts w:ascii="Times New Roman" w:hAnsi="Times New Roman" w:cs="Times New Roman"/>
          <w:sz w:val="24"/>
          <w:szCs w:val="24"/>
        </w:rPr>
      </w:pPr>
      <w:r w:rsidRPr="00CE3A86">
        <w:rPr>
          <w:rFonts w:ascii="Times New Roman" w:hAnsi="Times New Roman" w:cs="Times New Roman"/>
          <w:sz w:val="24"/>
          <w:szCs w:val="24"/>
        </w:rPr>
        <w:t xml:space="preserve">Goffman, E. (1967). </w:t>
      </w:r>
      <w:proofErr w:type="spellStart"/>
      <w:proofErr w:type="gramStart"/>
      <w:r w:rsidRPr="00CE3A86">
        <w:rPr>
          <w:rFonts w:ascii="Times New Roman" w:hAnsi="Times New Roman" w:cs="Times New Roman"/>
          <w:sz w:val="24"/>
          <w:szCs w:val="24"/>
        </w:rPr>
        <w:t>interactional</w:t>
      </w:r>
      <w:proofErr w:type="spellEnd"/>
      <w:proofErr w:type="gram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ritual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Essays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in Face-to-face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. New York: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Doubleday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Anchor Books.</w:t>
      </w:r>
    </w:p>
    <w:p w:rsidR="00CE3A86" w:rsidRPr="00CE3A86" w:rsidRDefault="00CE3A86" w:rsidP="00CE3A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3A86">
        <w:rPr>
          <w:rFonts w:ascii="Times New Roman" w:hAnsi="Times New Roman" w:cs="Times New Roman"/>
          <w:sz w:val="24"/>
          <w:szCs w:val="24"/>
        </w:rPr>
        <w:t>Gumperz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, J. J. (1982).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Discourse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interactional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sociolinguistics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. Cambridge-London-New York: Cambridge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>.</w:t>
      </w:r>
    </w:p>
    <w:p w:rsidR="00CE3A86" w:rsidRPr="00CE3A86" w:rsidRDefault="00CE3A86" w:rsidP="00CE3A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3A86">
        <w:rPr>
          <w:rFonts w:ascii="Times New Roman" w:hAnsi="Times New Roman" w:cs="Times New Roman"/>
          <w:sz w:val="24"/>
          <w:szCs w:val="24"/>
        </w:rPr>
        <w:t>Gumperz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, J. J., &amp;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Hymes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, D. H. (1972). Directions in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sociolinguistics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: the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ethnography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of communication. New York: Holt,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Rinehart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and Winston.</w:t>
      </w:r>
    </w:p>
    <w:p w:rsidR="00CE3A86" w:rsidRPr="00CE3A86" w:rsidRDefault="00CE3A86" w:rsidP="00CE3A86">
      <w:pPr>
        <w:rPr>
          <w:rFonts w:ascii="Times New Roman" w:hAnsi="Times New Roman" w:cs="Times New Roman"/>
          <w:sz w:val="24"/>
          <w:szCs w:val="24"/>
        </w:rPr>
      </w:pPr>
      <w:r w:rsidRPr="00CE3A86">
        <w:rPr>
          <w:rFonts w:ascii="Times New Roman" w:hAnsi="Times New Roman" w:cs="Times New Roman"/>
          <w:sz w:val="24"/>
          <w:szCs w:val="24"/>
        </w:rPr>
        <w:t xml:space="preserve">Lambert, P., &amp;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Veillard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, L. (2017). L’atelier, les gars et la revue technique. Pratiques et différenciations langagières en lycée professionnel.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Glottopol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>, 29, 52–89.</w:t>
      </w:r>
    </w:p>
    <w:p w:rsidR="009D7491" w:rsidRPr="002A413E" w:rsidRDefault="00CE3A86" w:rsidP="00CE3A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3A86">
        <w:rPr>
          <w:rFonts w:ascii="Times New Roman" w:hAnsi="Times New Roman" w:cs="Times New Roman"/>
          <w:sz w:val="24"/>
          <w:szCs w:val="24"/>
        </w:rPr>
        <w:t>Schieffelin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, B. B., &amp; Ochs, E. (1986).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Socialization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E3A86">
        <w:rPr>
          <w:rFonts w:ascii="Times New Roman" w:hAnsi="Times New Roman" w:cs="Times New Roman"/>
          <w:sz w:val="24"/>
          <w:szCs w:val="24"/>
        </w:rPr>
        <w:t>Anthropology</w:t>
      </w:r>
      <w:proofErr w:type="spellEnd"/>
      <w:r w:rsidRPr="00CE3A86">
        <w:rPr>
          <w:rFonts w:ascii="Times New Roman" w:hAnsi="Times New Roman" w:cs="Times New Roman"/>
          <w:sz w:val="24"/>
          <w:szCs w:val="24"/>
        </w:rPr>
        <w:t>, 15(1), 163–191. https://doi.org/10.2307/2155759</w:t>
      </w:r>
    </w:p>
    <w:p w:rsidR="0093035A" w:rsidRPr="0093035A" w:rsidRDefault="0093035A" w:rsidP="009D749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r w:rsidRPr="0093035A">
        <w:rPr>
          <w:rFonts w:ascii="Times New Roman" w:hAnsi="Times New Roman" w:cs="Times New Roman"/>
          <w:b/>
          <w:sz w:val="24"/>
          <w:szCs w:val="24"/>
          <w:lang w:val="en-GB"/>
        </w:rPr>
        <w:t>Keywords</w:t>
      </w:r>
    </w:p>
    <w:p w:rsidR="009D7491" w:rsidRPr="009D7491" w:rsidRDefault="00CE3A86" w:rsidP="009D749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Applied interactional </w:t>
      </w:r>
      <w:r w:rsidR="0093035A">
        <w:rPr>
          <w:rFonts w:ascii="Times New Roman" w:hAnsi="Times New Roman" w:cs="Times New Roman"/>
          <w:sz w:val="24"/>
          <w:szCs w:val="24"/>
          <w:lang w:val="en-GB"/>
        </w:rPr>
        <w:t>linguistics</w:t>
      </w:r>
      <w:r>
        <w:rPr>
          <w:rFonts w:ascii="Times New Roman" w:hAnsi="Times New Roman" w:cs="Times New Roman"/>
          <w:sz w:val="24"/>
          <w:szCs w:val="24"/>
          <w:lang w:val="en-GB"/>
        </w:rPr>
        <w:t>; vocational training; ethnography of communication</w:t>
      </w:r>
      <w:bookmarkEnd w:id="0"/>
    </w:p>
    <w:sectPr w:rsidR="009D7491" w:rsidRPr="009D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91"/>
    <w:rsid w:val="002A413E"/>
    <w:rsid w:val="008A0083"/>
    <w:rsid w:val="0093035A"/>
    <w:rsid w:val="009D7491"/>
    <w:rsid w:val="00CE3A86"/>
    <w:rsid w:val="00F60FB4"/>
    <w:rsid w:val="00FB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0E766-DD9C-4873-811E-B3F958DC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659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Rouen</Company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MIRAS (Personnel)</dc:creator>
  <cp:keywords/>
  <dc:description/>
  <cp:lastModifiedBy>Céline Alcade</cp:lastModifiedBy>
  <cp:revision>5</cp:revision>
  <dcterms:created xsi:type="dcterms:W3CDTF">2019-01-15T11:52:00Z</dcterms:created>
  <dcterms:modified xsi:type="dcterms:W3CDTF">2019-04-28T20:53:00Z</dcterms:modified>
</cp:coreProperties>
</file>